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08A" w:rsidRDefault="00C7408A" w:rsidP="00C7408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Установлена уголовная ответственность за незаконную деятельность по возврату просроченной задолженности физических лиц.</w:t>
      </w:r>
    </w:p>
    <w:p w:rsidR="00C7408A" w:rsidRDefault="00C7408A" w:rsidP="00C7408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Уголовный кодекс РФ дополнен статьей 172.4, определяющей ответственность за совершение действий, направленных на возврат просроченной задолженности физических лиц и сопряженных с угрозой применения насилия либо уничтожения или повреждения имущества, а равно с угрозой распространения либо распространением заведомо ложных сведений, порочащих честь и достоинство потерпевшего или его близких,</w:t>
      </w:r>
    </w:p>
    <w:p w:rsidR="00C7408A" w:rsidRDefault="00C7408A" w:rsidP="00C7408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5"/>
          <w:rFonts w:ascii="Arial" w:hAnsi="Arial" w:cs="Arial"/>
          <w:color w:val="666666"/>
        </w:rPr>
        <w:t>Федеральный закон от 10.07.2023 N 323-ФЗ"О внесении изменений в Уголовный кодекс Российской Федерации и статьи 150 и 151 Уголовно-процессуального кодекса Российской Федерации"</w:t>
      </w:r>
    </w:p>
    <w:p w:rsidR="00CF25BB" w:rsidRDefault="00CF25BB">
      <w:bookmarkStart w:id="0" w:name="_GoBack"/>
      <w:bookmarkEnd w:id="0"/>
    </w:p>
    <w:sectPr w:rsidR="00CF2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40"/>
    <w:rsid w:val="00944540"/>
    <w:rsid w:val="00C7408A"/>
    <w:rsid w:val="00CF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DF53F-4CB5-46EE-955A-768A7B0A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0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408A"/>
    <w:rPr>
      <w:b/>
      <w:bCs/>
    </w:rPr>
  </w:style>
  <w:style w:type="character" w:styleId="a5">
    <w:name w:val="Emphasis"/>
    <w:basedOn w:val="a0"/>
    <w:uiPriority w:val="20"/>
    <w:qFormat/>
    <w:rsid w:val="00C740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2023-11-01T08:17:00Z</dcterms:created>
  <dcterms:modified xsi:type="dcterms:W3CDTF">2023-11-01T08:18:00Z</dcterms:modified>
</cp:coreProperties>
</file>